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7046595" cy="5678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678805"/>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 BALMANN YVES C</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1310 POINT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Constellation Energy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CEG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04/28/2026</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4" w:lineRule="exact"/>
        <w:rPr>
          <w:sz w:val="24"/>
          <w:szCs w:val="24"/>
          <w:color w:val="auto"/>
        </w:rPr>
      </w:pPr>
    </w:p>
    <w:p>
      <w:pPr>
        <w:sectPr>
          <w:pgSz w:w="11900" w:h="16838" w:orient="portrait"/>
          <w:cols w:equalWidth="0" w:num="3">
            <w:col w:w="3180" w:space="720"/>
            <w:col w:w="3102" w:space="720"/>
            <w:col w:w="3358"/>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BALTIMORE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21231</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1"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9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00" w:type="dxa"/>
            <w:vAlign w:val="bottom"/>
          </w:tcPr>
          <w:p>
            <w:pPr>
              <w:ind w:left="3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300" w:type="dxa"/>
            <w:vAlign w:val="bottom"/>
          </w:tcPr>
          <w:p>
            <w:pPr>
              <w:ind w:left="3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300" w:type="dxa"/>
            <w:vAlign w:val="bottom"/>
          </w:tcPr>
          <w:p>
            <w:pPr>
              <w:ind w:left="30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9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9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9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(Deferred Stock Units)</w:t>
            </w:r>
          </w:p>
        </w:tc>
        <w:tc>
          <w:tcPr>
            <w:tcW w:w="130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04/28/2026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556</w:t>
            </w:r>
          </w:p>
        </w:tc>
        <w:tc>
          <w:tcPr>
            <w:tcW w:w="5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305.71</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51,340</w:t>
            </w:r>
            <w:r>
              <w:rPr>
                <w:rFonts w:ascii="Times New Roman" w:cs="Times New Roman" w:eastAsia="Times New Roman" w:hAnsi="Times New Roman"/>
                <w:sz w:val="21"/>
                <w:szCs w:val="21"/>
                <w:color w:val="008000"/>
                <w:w w:val="91"/>
                <w:vertAlign w:val="superscript"/>
              </w:rPr>
              <w:t>(1)</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636</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9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de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Balmann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203</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LLLP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0" w:type="dxa"/>
            <w:vAlign w:val="bottom"/>
            <w:tcBorders>
              <w:bottom w:val="single" w:sz="8" w:color="2C2C2C"/>
            </w:tcBorders>
          </w:tcPr>
          <w:p>
            <w:pPr>
              <w:spacing w:after="0"/>
              <w:rPr>
                <w:sz w:val="5"/>
                <w:szCs w:val="5"/>
                <w:color w:val="auto"/>
              </w:rPr>
            </w:pPr>
          </w:p>
        </w:tc>
        <w:tc>
          <w:tcPr>
            <w:tcW w:w="29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0"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 Derivative</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 (Instr. 3 and</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4)</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6"/>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 or</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Number 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20" w:type="dxa"/>
            <w:vAlign w:val="bottom"/>
          </w:tcPr>
          <w:p>
            <w:pPr>
              <w:ind w:left="60"/>
              <w:spacing w:after="0" w:line="206" w:lineRule="exact"/>
              <w:rPr>
                <w:sz w:val="20"/>
                <w:szCs w:val="20"/>
                <w:color w:val="auto"/>
              </w:rPr>
            </w:pPr>
            <w:r>
              <w:rPr>
                <w:rFonts w:ascii="Times New Roman" w:cs="Times New Roman" w:eastAsia="Times New Roman" w:hAnsi="Times New Roman"/>
                <w:sz w:val="17"/>
                <w:szCs w:val="17"/>
                <w:color w:val="0000FF"/>
              </w:rPr>
              <w:t>50,571</w:t>
            </w:r>
            <w:r>
              <w:rPr>
                <w:rFonts w:ascii="Times New Roman" w:cs="Times New Roman" w:eastAsia="Times New Roman" w:hAnsi="Times New Roman"/>
                <w:sz w:val="21"/>
                <w:szCs w:val="21"/>
                <w:color w:val="008000"/>
                <w:vertAlign w:val="superscript"/>
              </w:rPr>
              <w:t>(2)</w:t>
            </w:r>
          </w:p>
        </w:tc>
        <w:tc>
          <w:tcPr>
            <w:tcW w:w="680" w:type="dxa"/>
            <w:vAlign w:val="bottom"/>
          </w:tcPr>
          <w:p>
            <w:pPr>
              <w:spacing w:after="0"/>
              <w:rPr>
                <w:sz w:val="17"/>
                <w:szCs w:val="17"/>
                <w:color w:val="auto"/>
              </w:rPr>
            </w:pPr>
          </w:p>
        </w:tc>
        <w:tc>
          <w:tcPr>
            <w:tcW w:w="940" w:type="dxa"/>
            <w:vAlign w:val="bottom"/>
          </w:tcPr>
          <w:p>
            <w:pPr>
              <w:ind w:left="240"/>
              <w:spacing w:after="0" w:line="206" w:lineRule="exact"/>
              <w:rPr>
                <w:sz w:val="20"/>
                <w:szCs w:val="20"/>
                <w:color w:val="auto"/>
              </w:rPr>
            </w:pPr>
            <w:r>
              <w:rPr>
                <w:rFonts w:ascii="Times New Roman" w:cs="Times New Roman" w:eastAsia="Times New Roman" w:hAnsi="Times New Roman"/>
                <w:sz w:val="13"/>
                <w:szCs w:val="13"/>
                <w:color w:val="0000FF"/>
              </w:rPr>
              <w:t>50,571</w:t>
            </w:r>
            <w:r>
              <w:rPr>
                <w:rFonts w:ascii="Times New Roman" w:cs="Times New Roman" w:eastAsia="Times New Roman" w:hAnsi="Times New Roman"/>
                <w:sz w:val="21"/>
                <w:szCs w:val="21"/>
                <w:color w:val="008000"/>
                <w:vertAlign w:val="superscript"/>
              </w:rPr>
              <w:t>(2)</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r>
      <w:tr>
        <w:trPr>
          <w:trHeight w:val="91"/>
        </w:trPr>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ind w:left="1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Balance includes approximately 262 shares acquired through quarterly automatic dividend reinvestments.</w:t>
      </w:r>
    </w:p>
    <w:p>
      <w:pPr>
        <w:spacing w:after="0" w:line="43" w:lineRule="exact"/>
        <w:rPr>
          <w:rFonts w:ascii="Times New Roman" w:cs="Times New Roman" w:eastAsia="Times New Roman" w:hAnsi="Times New Roman"/>
          <w:sz w:val="13"/>
          <w:szCs w:val="13"/>
          <w:color w:val="008000"/>
        </w:rPr>
      </w:pPr>
    </w:p>
    <w:p>
      <w:pPr>
        <w:ind w:left="40" w:right="160" w:firstLine="2"/>
        <w:spacing w:after="0"/>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Phantom deferred stock units converted from the legacy Constellation Energy Group Inc. Deferred Compensation Plan for Non-employee Directors (the "Plan") that will be settled in cash on a 1-for-1 basis using the year-end price of Common Stock in the year of termination of the reporting person's service. Balance updated to reflect approximately 261 additional stock units credited through the quarterly automatic dividend reinvestment feature of the Plan.</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0000FF"/>
                <w:w w:val="96"/>
              </w:rPr>
              <w:t>/s/ Brian Buck, Attorney-in-</w:t>
            </w:r>
          </w:p>
        </w:tc>
        <w:tc>
          <w:tcPr>
            <w:tcW w:w="300" w:type="dxa"/>
            <w:vAlign w:val="bottom"/>
          </w:tcPr>
          <w:p>
            <w:pPr>
              <w:spacing w:after="0"/>
              <w:rPr>
                <w:sz w:val="17"/>
                <w:szCs w:val="17"/>
                <w:color w:val="auto"/>
              </w:rPr>
            </w:pP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5"/>
              </w:rPr>
              <w:t>04/30/2026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ind w:left="20"/>
              <w:spacing w:after="0" w:line="186" w:lineRule="exact"/>
              <w:rPr>
                <w:sz w:val="20"/>
                <w:szCs w:val="20"/>
                <w:color w:val="auto"/>
              </w:rPr>
            </w:pPr>
            <w:r>
              <w:rPr>
                <w:rFonts w:ascii="Times New Roman" w:cs="Times New Roman" w:eastAsia="Times New Roman" w:hAnsi="Times New Roman"/>
                <w:sz w:val="17"/>
                <w:szCs w:val="17"/>
                <w:color w:val="0000FF"/>
              </w:rPr>
              <w:t>Fact for Yves de Balmann</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ind w:left="20"/>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57061" TargetMode="External"/><Relationship Id="rId14" Type="http://schemas.openxmlformats.org/officeDocument/2006/relationships/hyperlink" Target="http://www.sec.gov/cgi-bin/browse-edgar?action=getcompany&amp;CIK=00018682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2026-04-30T15:34:17Z</dcterms:created>
  <dcterms:modified xsi:type="dcterms:W3CDTF">2026-04-30T15:34:17Z</dcterms:modified>
</cp:coreProperties>
</file>